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przyjaciel HiBrands - Przysnacki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HiBrands podjął się odświeżenia najbardziej swojskiej marki słonych przekąsek na rynku. Pomogliśmy Intersnack, właścicielowi marki Przysnacki przeprowadzić zmiany w portfolio i identyfikacji brandu oraz zaproponować konsumentom nowy, lepiej zestrojony ze współczesnymi trendami język graficzny opakowań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Przystępując do rozpisanego przez Intersnack przetargu wiedzieliśmy, że mamy do czynienia z wyjątkowym wyzwaniem. Po pierwsze, Przysnacki to marka z ambicjami; by mogła umacniać się pośród najlepszych na sklepowej półce potrzebowała kogoś, kto pomoże odnaleźć jej drogę do mainstreamu współczesnej estetyki. Po drugie, to marka wyrazista, świadoma swojej tożsamości i silnie wpisana w rodzimy kontekst. Odświeżając Przysnacki szukaliśmy zatem aktualnych trendów estetyki polskiej lokalności.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Wygrana w przetargu dała nam ogromną satysfakcję, bo przekonaliśmy Klienta (oraz konsumentów zaangażowanych w przetargowy proces badawczy), że wiemy w jaki sposób współcześni odbiorcy rozumieją pozytywną, aspiracyjną polskość i potrafimy tę wiedzę zmieniać w apetyczne projekty opakowań produktów.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″Przeprojektowaliśmy całość układu graficznego opakowań–</w:t>
      </w:r>
      <w:r>
        <w:rPr>
          <w:rFonts w:ascii="calibri" w:hAnsi="calibri" w:eastAsia="calibri" w:cs="calibri"/>
          <w:sz w:val="24"/>
          <w:szCs w:val="24"/>
          <w:b/>
        </w:rPr>
        <w:t xml:space="preserve">wyjaśnia Paweł Frej, General Creative Director w HiBrands</w:t>
      </w:r>
      <w:r>
        <w:rPr>
          <w:rFonts w:ascii="calibri" w:hAnsi="calibri" w:eastAsia="calibri" w:cs="calibri"/>
          <w:sz w:val="24"/>
          <w:szCs w:val="24"/>
        </w:rPr>
        <w:t xml:space="preserve"> - począwszy od logo, przez system komunikacji aż po przedstawienie produktowe. Projekt na nowo definiuje kody polskości, tak mocno osadzone w tej marce. Pokazaliśmy je we współczesnym wydaniu. Stworzyliśmy opakowania, które badanym odbiorcom wciąż kojarzyły się z produktami lubianej przez nich marki, ale jednocześnie oceniali je jako atrakcyjniejsze”.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Redesign portfolio produktowego marki Przysnacki to pierwszy wspólny projekt Intersnack i zespołu HiBrands i, wierzymy w to, początek przyjaznej współpracy.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produkty w nowej, przygotowanej przez HiBrands szacie graficznej pojawią się w sklepach jeszcze tej wiosny.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2026-08-27T15:35:09+02:00</dcterms:created>
  <dcterms:modified xsi:type="dcterms:W3CDTF">2026-08-27T15:35:09+02:00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